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779446d3b4db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30988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I ČITAONICA VIKTOR CAR EMIN OPATIJA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467.797,45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591.240,51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386.053,10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503.609,62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81.744,35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87.630,89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80.665,66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90.841,19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80.665,66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90.841,19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PR-RAS za 2025. godinu iskazani su ukupni prihodi poslovanja u iznosu od 591.240,51 EUR te ukupni rashodi poslovanja u iznosu od 503.609,62 EUR, čime je ostvaren višak prihoda poslovanja u iznosu od 87.630,89 EUR. U izvještajnom razdoblju nisu ostvareni prihodi od prodaje nefinancijske imovine, dok rashodi za nabavu nefinancijske imovine iznose 90.841,19 EUR, što je rezultiralo manjkom prihoda od nefinancijske imovine u istom iznosu. S obzirom da u izvještajnom razdoblju nije bilo primitaka ni izdataka od financijske imovine i zaduživanja, ukupni rezultat razdoblja iskazan je kao manjak prihoda i primitaka u iznosu od 3.210,30 EUR (šifra Y005).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467.797,45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591.240,51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</w:tbl>
    <w:p>
      <w:pPr>
        <w:spacing w:before="0" w:after="0"/>
      </w:pPr>
    </w:p>
    <w:p>
      <w:r>
        <w:t xml:space="preserve">Prihodi od poslovanja- ostvareni su prihodi od 591.240,51 eur što predstavlja povećanje u odnosu na prethodnu godinu za 26,4% sve u skladu s Financijskim planom Gradske knjižnice i čitaonice „Viktor Car Emin“ Opatija.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179.152,50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231.172,00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iznose 231.172,00 eur  i veće su u odnosu na prošlu godinu za 29,00 % ,a razlog tome je povećanje plaća djelatnicima.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59.265,00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 -  iskazani podaci u iznosu od 67.665,00 Eur  odnose se na prihode od Ministarstva kulture i medija koji iznose 51.300,00 eur, dok se preostali dio od 16.365 eur odnosi na jedinice lokalne samouprave (Grad Kastav, Općina Lovran, Općina Matulji i Općina Mošćenička Draga).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17.103,16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Ostali nespomenuti prihodi veći su 6,7%  za u odnosu na prethodnu godinu, a razlog je veći broj upisanih članova u odnosu na prethodnu godinu i iznose 17.103,16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</w:tbl>
    <w:p>
      <w:pPr>
        <w:spacing w:before="0" w:after="0"/>
      </w:pPr>
    </w:p>
    <w:p>
      <w:r>
        <w:t xml:space="preserve">Prihodi od  pruženih usluga iznose 71,70 eur, a odnose se na usluge fotokopiranja i manji su u odnosu na proteklu godinu zbog smanjene potražnje za uslugom.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200.537,48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260.878,59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 - Iznos od 260.878,59 eur odnosi se na doznačena sredstva iz Proračuna Grada Opatije za redovnu djelatnost i u odnosu na prethodnu godinu veći  je za 30,1%,   a razlog tomu je što je u Ustanovu zaposlen 1 novi djelatnik.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12.729,89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iznose 14.350,06 eur, što je povećanje od 12,70 % u odnosu na isto razdoblje prethodne godine, a razlog tomu je što je u prošloj godini bila manja nabava uredske opreme i namještaja. U 2025. g. Knjižnica je nabavila novi pult,  police za knjige, kolica za knjige, ormare.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386.053,10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503.609,62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</w:tbl>
    <w:p>
      <w:pPr>
        <w:spacing w:before="0" w:after="0"/>
      </w:pPr>
    </w:p>
    <w:p>
      <w:r>
        <w:t xml:space="preserve">Rashodi poslovanja – iznose 503.609,62 eur i viši su za 30,50% u odnosu na rashode ostvarene u 2024. godini. Rashodi su se kretali u planiranim veličinama i dinamici sukladno Programu rada za 2025. godinu. U promatranom razdoblju rashodi su izvršeni kako slijedi:</w:t>
      </w:r>
    </w:p>
    <w:p>
      <w:r>
        <w:t xml:space="preserve"> </w:t>
      </w:r>
    </w:p>
    <w:p>
      <w:r>
        <w:t xml:space="preserve">            Šifra 31   – Rashodi za zaposlene                                                        400.353,28 eur </w:t>
      </w:r>
    </w:p>
    <w:p>
      <w:r>
        <w:t xml:space="preserve">            Šifra 32   – Materijalni rashodi                                                              103.256,34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306.373,26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400.353,28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r>
        <w:t xml:space="preserve">Rashodi za zaposlene  iznose 400.353,28 eur i veći su u odnosu na ostvarene rashode iz prethodne godine za 30,70 %. Povećanje rashoda za zaposlene rezultat je toga je povećanja bruto plaća djelatnika knjižnice, povećanja doprinosa na plaće i redovnog usklađivanja rashoda sukladno važećim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79.679,84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103.256,34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129,6</w:t>
            </w:r>
          </w:p>
        </w:tc>
      </w:tr>
    </w:tbl>
    <w:p>
      <w:pPr>
        <w:spacing w:before="0" w:after="0"/>
      </w:pPr>
    </w:p>
    <w:p>
      <w:r>
        <w:t xml:space="preserve">Materijalni rashodi iznose 103.256,34 EUR, u odnosu na 79.679,84 EUR prethodne godine. Najznačajnije stavke materijalnih rashoda odnose se na rashode za usluge: 55.425,33 EUR, rashode za materijal i energiju: 21.507,67 EUR i ostale nespomenute rashode poslovanja: 5.438,38 EUR</w:t>
      </w:r>
      <w:r>
        <w:br/>
      </w:r>
      <w:r>
        <w:t xml:space="preserve">Povećanja pojedinih stavki rezultat su rasta cijena usluga i troškova poslovanja tijekom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81.744,35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Manjak prihoda poslovanja (šifra X001) u iznosu od 87.630,89 EUR posljedica je metodologije proračunskog računovodstva prema kojoj se rashodi evidentiraju u razdoblju nastanka obveze, dok se prihodi evidentiraju prema naplati. Dio rashoda iz izvještajnog razdoblja financiran je sredstvima koja su doznačena i naplaćena u sljedećoj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20.660,83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95,0</w:t>
            </w:r>
          </w:p>
        </w:tc>
      </w:tr>
    </w:tbl>
    <w:p>
      <w:pPr>
        <w:spacing w:before="0" w:after="0"/>
      </w:pPr>
    </w:p>
    <w:p>
      <w:r>
        <w:t xml:space="preserve">Obračunati prihodi poslovanja – nenaplaćeni (šifra 961) u iznosu od 20.660,83 EUR odnose se na prihode ostvarene u izvještajnom razdoblju koji do 31.12.2025. godine nisu naplaćeni, a naplaćeni su ili će biti naplaćeni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519.067,80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595.642,35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Ukupna imovina Gradske knjižnice i čitaonice Viktor Car Emin Opatija na dan 31.12.2025. godine iznosi 595.642,35 EUR (šifra B001), što predstavlja povećanje od 14,8 % u odnosu na stanje na dan 1.1.2025. godine (519.067,80 EUR).</w:t>
      </w:r>
    </w:p>
    <w:p>
      <w:r>
        <w:t xml:space="preserve">Povećanje ukupne imovine rezultat je povećanja vrijednosti nefinancijske imovine, prvenstveno nabave knjižnične građe i opreme tijekom izvještajnog razdoblja.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508.408,91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578.255,55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Nefinancijska imovina (šifra B002) na dan 31.12.2025. godine iznosi 578.255,55 EUR, što predstavlja povećanje u odnosu na stanje na dan 1.1.2025. godine (508.408,91 EUR). Povećanje nefinancijske imovine odnosi se prvenstveno na nabavu knjižnične građe te nabavu postrojenja i opreme tijekom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13.872,12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19.818,49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Vrijednost postrojenja i opreme (šifre 0221–0228, 02922) na dan 31.12.2025. godine iznosi 19.818,49 EUR, što predstavlja povećanje u odnosu na stanje na dan 1.1.2025. godine (13.872,12 EUR). Povećanje se odnosi na nabavu nove opreme tijekom izvještajnog razdoblja, dok je vrijednost umanjena za obračunanu amortizaciju sukladno važećim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1.587.146,84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1.667.022,18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</w:tbl>
    <w:p>
      <w:pPr>
        <w:spacing w:before="0" w:after="0"/>
      </w:pPr>
    </w:p>
    <w:p>
      <w:r>
        <w:t xml:space="preserve">Vrijednost knjižnične građe – knjiga (šifra 0241) na dan 31.12.2025. godine iznosi 1.667.022,18 EUR, što predstavlja povećanje u odnosu na stanje na dan 1.1.2025. godine (1.587.146,84 EUR). Povećanje vrijednosti odnosi se na nabavu nove knjižnične građe tijekom izvještajnog razdoblja, sukladno planu nabave i redovnom obnavljanju fonda.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Vrijednost sitnog inventara i auto guma u upotrebi iznosi 8.601,61 EUR, uz istovjetan iznos ispravka vrijednosti, što znači da je sitni inventar u cijelosti otpisan.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10.658,89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163,1</w:t>
            </w:r>
          </w:p>
        </w:tc>
      </w:tr>
    </w:tbl>
    <w:p>
      <w:pPr>
        <w:spacing w:before="0" w:after="0"/>
      </w:pPr>
    </w:p>
    <w:p>
      <w:r>
        <w:t xml:space="preserve">Financijska imovina na dan 31.12.2025. iznosi 17.386,80 EUR. Ostala potraživanja iznose 302.96 EUR, a odnose se na potraživanja prema  HZZO osnovom refundacije bolovanja . Šifra 167 iznosi 17.071,68 EUR i povećanje se odnosi na potraživanja za prihode iz Proračuna za plaću i materijalne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10.578,18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17.071,68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161,4</w:t>
            </w:r>
          </w:p>
        </w:tc>
      </w:tr>
    </w:tbl>
    <w:p>
      <w:pPr>
        <w:spacing w:before="0" w:after="0"/>
      </w:pPr>
    </w:p>
    <w:p>
      <w:r>
        <w:t xml:space="preserve">Potraživanja za prihode poslovanja (šifra 16) na dan 31.12.2025. godine iznose 17.071,68 EUR, što predstavlja povećanje u odnosu na stanje na dan 1.1.2025. godine (10.578,18 EUR). Povećanje potraživanja odnosi se na nenaplaćene prihode dospjele krajem izvještajnog razdoblja, koji su naplaćeni ili će biti naplaćeni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41.257,93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131,7</w:t>
            </w:r>
          </w:p>
        </w:tc>
      </w:tr>
    </w:tbl>
    <w:p>
      <w:pPr>
        <w:spacing w:before="0" w:after="0"/>
      </w:pPr>
    </w:p>
    <w:p>
      <w:r>
        <w:t xml:space="preserve">Obveze za rashode poslovanja iznose 41.257,93 eur odnose se na obračunate troškove neto plaća, te davanja iz i na plaću za prosinac 2025.godine koji se isplaćuju u siječnju 2026. godine u visini 36908,96 eura (ŠIFRA 231), tekuće obveze prema dobavljačima za usluge primljene u prosincu 2025. godine u iznosu od 4.348,97eur (ŠIFRA 232).</w:t>
      </w:r>
    </w:p>
    <w:p>
      <w:r>
        <w:t xml:space="preserve">Sve navedene obveze su podmirene u siječnju 2026.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-20.660,83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-23.871,13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u iznosu od 23.871,13 EUR (šifra 922). Manjak je metodološke prirode te je nastao zbog primjene načela nastanka događaja, prema kojem se rashodi evidentiraju u razdoblju u kojem su nastali, dok se prihodi priznaju u razdoblju u kojem su doznačeni.Dio rashoda nastalih u prosincu 2025. godine podmiren je u 2026. godini, dok su sredstva za njihovo pokriće doznačena u 2026. godini, zbog čega je u izvještajnom razdoblju iskazan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894.817,16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876.780,68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</w:t>
            </w:r>
          </w:p>
        </w:tc>
      </w:tr>
    </w:tbl>
    <w:p>
      <w:pPr>
        <w:spacing w:before="0" w:after="0"/>
      </w:pPr>
    </w:p>
    <w:p>
      <w:r>
        <w:t xml:space="preserve">Ustanova na dan 31.12.2025. ima izvanbilančne zapise Šifra 991-Izvanbilančni zapisi- aktiva (Šifra 996)  u iznosu od 876.780,68 eur koji se odnose na zgradu Kulturni dom Zora koja je u vlasništvu Grada Opatije a čije prostore od 344,85 m2 koristi Knjižnica.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466.718,76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594.450,81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 Rashodi po funkcijskoj klasifikaciji Službe kulture (šifra 082) u 2025. godini iznose 594.450,81euršto predstavlja povećanje u odnosu na predhodnu godinu. Povećanje se odnosi na veće rashode poslovanja te rashode za nabavu nefinancijske imovine u izvještajnom razdoblju.</w:t>
      </w:r>
    </w:p>
    <w:p>
      <w:r>
        <w:t xml:space="preserve">Struktura rashoda Službi kulture u 2025.godini se satoji od: </w:t>
      </w:r>
    </w:p>
    <w:p>
      <w:r>
        <w:t xml:space="preserve">-Rashoda poslovanja                                       503.609,62 EUR</w:t>
      </w:r>
    </w:p>
    <w:p>
      <w:r>
        <w:t xml:space="preserve">-Rashoda za nabavu nefinancijske imovine      90.841,19 EUR</w:t>
      </w:r>
    </w:p>
    <w:p>
      <w:r>
        <w:t xml:space="preserve"> </w:t>
      </w:r>
    </w:p>
    <w:p>
      <w:r>
        <w:t xml:space="preserve"> 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Početno stanje obveza na dan 1.1.2025. godine (šifra V001) iznosi 31.319,72 EUR i odgovara stanju obveza iskazanom u Izvještaju o obvezama na dan 31.12.2024.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589.699,00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u izvještajnom razdoblju (šifra V004) iznose 589.699,00 EUR. Podmirene obveze odnose se na obveze nastale po osnovi rashoda za zaposlene u iznosu od 394.418,62 EUR, materijalnih rashoda u iznosu od 103.467,61 EUR te obveza za nabavu nefinancijske imovine u iznosu od 91.812,77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godine Gradska knjižnica i čitaonica Viktor car Emin nema dospjelih nepodmirenih obveza. Sve obveze koje su dospjele do kraja izvještajnog razdoblja podmirene su u zakonskim i ugovorenim rokovima.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1be1f6c0c48ca" /></Relationships>
</file>